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F9" w:rsidRDefault="00C01E08">
      <w:pPr>
        <w:ind w:firstLineChars="200" w:firstLine="720"/>
        <w:jc w:val="center"/>
        <w:rPr>
          <w:rFonts w:ascii="黑体" w:eastAsia="黑体" w:hAnsi="黑体"/>
          <w:snapToGrid w:val="0"/>
          <w:sz w:val="36"/>
          <w:szCs w:val="36"/>
        </w:rPr>
      </w:pPr>
      <w:r>
        <w:rPr>
          <w:rFonts w:ascii="黑体" w:eastAsia="黑体" w:hAnsi="黑体" w:hint="eastAsia"/>
          <w:snapToGrid w:val="0"/>
          <w:sz w:val="36"/>
          <w:szCs w:val="36"/>
        </w:rPr>
        <w:t>2月大讲堂重点报告</w:t>
      </w:r>
    </w:p>
    <w:p w:rsidR="00F501F9" w:rsidRDefault="00C01E08">
      <w:pPr>
        <w:ind w:firstLineChars="200" w:firstLine="600"/>
        <w:rPr>
          <w:rFonts w:ascii="仿宋_GB2312" w:eastAsia="仿宋_GB2312" w:hAnsi="仿宋"/>
          <w:color w:val="2B2B2B"/>
          <w:sz w:val="28"/>
          <w:szCs w:val="28"/>
        </w:rPr>
      </w:pPr>
      <w:r>
        <w:rPr>
          <w:rFonts w:ascii="仿宋_GB2312" w:eastAsia="仿宋_GB2312" w:hint="eastAsia"/>
          <w:sz w:val="30"/>
          <w:szCs w:val="30"/>
        </w:rPr>
        <w:t>本月，南京科协大讲堂将关注科技创新创业的相关政策，邀请专家对</w:t>
      </w:r>
      <w:r w:rsidR="00BA2D5E">
        <w:rPr>
          <w:rFonts w:ascii="仿宋_GB2312" w:eastAsia="仿宋_GB2312" w:hint="eastAsia"/>
          <w:sz w:val="30"/>
          <w:szCs w:val="30"/>
        </w:rPr>
        <w:t>去年</w:t>
      </w:r>
      <w:r>
        <w:rPr>
          <w:rFonts w:ascii="仿宋_GB2312" w:eastAsia="仿宋_GB2312" w:hint="eastAsia"/>
          <w:sz w:val="30"/>
          <w:szCs w:val="30"/>
        </w:rPr>
        <w:t>出台的“省40条”“南京36条”进行详细解读。详情可登录南京科协网站</w:t>
      </w:r>
      <w:hyperlink r:id="rId7" w:history="1">
        <w:r>
          <w:rPr>
            <w:rFonts w:ascii="仿宋_GB2312" w:eastAsia="仿宋_GB2312" w:hint="eastAsia"/>
            <w:sz w:val="30"/>
            <w:szCs w:val="30"/>
          </w:rPr>
          <w:t>http://kx.nanj</w:t>
        </w:r>
        <w:bookmarkStart w:id="0" w:name="_GoBack"/>
        <w:bookmarkEnd w:id="0"/>
        <w:r>
          <w:rPr>
            <w:rFonts w:ascii="仿宋_GB2312" w:eastAsia="仿宋_GB2312" w:hint="eastAsia"/>
            <w:sz w:val="30"/>
            <w:szCs w:val="30"/>
          </w:rPr>
          <w:t>ing.gov.cn</w:t>
        </w:r>
      </w:hyperlink>
      <w:r>
        <w:rPr>
          <w:rFonts w:ascii="仿宋_GB2312" w:eastAsia="仿宋_GB2312" w:hint="eastAsia"/>
          <w:sz w:val="30"/>
          <w:szCs w:val="30"/>
        </w:rPr>
        <w:t>查询，</w:t>
      </w:r>
      <w:r>
        <w:rPr>
          <w:rFonts w:ascii="仿宋_GB2312" w:eastAsia="仿宋_GB2312" w:hAnsi="仿宋" w:hint="eastAsia"/>
          <w:color w:val="2B2B2B"/>
          <w:sz w:val="28"/>
          <w:szCs w:val="28"/>
        </w:rPr>
        <w:t>也可关注“南京科普”微信公众号，在“科协讲堂”栏目中查看。</w:t>
      </w:r>
    </w:p>
    <w:p w:rsidR="00F501F9" w:rsidRDefault="00F501F9">
      <w:pPr>
        <w:rPr>
          <w:rFonts w:ascii="仿宋_GB2312" w:eastAsia="仿宋_GB2312"/>
          <w:sz w:val="28"/>
          <w:szCs w:val="28"/>
        </w:rPr>
      </w:pPr>
    </w:p>
    <w:p w:rsidR="00F501F9" w:rsidRDefault="00C01E08">
      <w:pPr>
        <w:ind w:firstLineChars="200" w:firstLine="720"/>
        <w:rPr>
          <w:rFonts w:ascii="黑体" w:eastAsia="黑体" w:hAnsi="黑体"/>
          <w:sz w:val="36"/>
          <w:szCs w:val="36"/>
        </w:rPr>
      </w:pPr>
      <w:r>
        <w:rPr>
          <w:rFonts w:ascii="黑体" w:eastAsia="黑体" w:hAnsi="黑体" w:hint="eastAsia"/>
          <w:snapToGrid w:val="0"/>
          <w:sz w:val="36"/>
          <w:szCs w:val="36"/>
        </w:rPr>
        <w:t>南京机电科协：南京科技创新政策解读</w:t>
      </w:r>
    </w:p>
    <w:p w:rsidR="00F501F9" w:rsidRPr="00BA2D5E" w:rsidRDefault="00C01E08" w:rsidP="00BA2D5E">
      <w:pPr>
        <w:spacing w:line="220" w:lineRule="atLeast"/>
        <w:ind w:firstLineChars="200" w:firstLine="560"/>
        <w:rPr>
          <w:rFonts w:ascii="仿宋_GB2312" w:eastAsia="仿宋_GB2312" w:hAnsi="华文中宋" w:cstheme="minorBidi"/>
          <w:sz w:val="28"/>
          <w:szCs w:val="28"/>
        </w:rPr>
      </w:pPr>
      <w:r w:rsidRPr="00BA2D5E">
        <w:rPr>
          <w:rFonts w:ascii="仿宋_GB2312" w:eastAsia="仿宋_GB2312" w:hAnsi="华文中宋" w:cstheme="minorBidi" w:hint="eastAsia"/>
          <w:sz w:val="28"/>
          <w:szCs w:val="28"/>
        </w:rPr>
        <w:t>去年8月省政府印发《关于加快推进产业科技创新中心和创新型省份建设若干政策措施的通知》（苏政发〔2016〕107号，简称“省40条”）。9月，南京市政府出台《南京市争当江苏省产业科技创新中心排头兵和建设国家创新型城市若干政策措施》</w:t>
      </w:r>
      <w:r w:rsidR="00F922E7">
        <w:rPr>
          <w:rFonts w:ascii="仿宋_GB2312" w:eastAsia="仿宋_GB2312" w:hAnsi="华文中宋" w:cstheme="minorBidi" w:hint="eastAsia"/>
          <w:sz w:val="28"/>
          <w:szCs w:val="28"/>
        </w:rPr>
        <w:t xml:space="preserve"> </w:t>
      </w:r>
      <w:r w:rsidR="006A2B01">
        <w:rPr>
          <w:rFonts w:ascii="仿宋_GB2312" w:eastAsia="仿宋_GB2312" w:hAnsi="华文中宋" w:cstheme="minorBidi" w:hint="eastAsia"/>
          <w:sz w:val="28"/>
          <w:szCs w:val="28"/>
        </w:rPr>
        <w:t>(宁政发</w:t>
      </w:r>
      <w:r w:rsidR="006A2B01" w:rsidRPr="00BA2D5E">
        <w:rPr>
          <w:rFonts w:ascii="仿宋_GB2312" w:eastAsia="仿宋_GB2312" w:hAnsi="华文中宋" w:cstheme="minorBidi" w:hint="eastAsia"/>
          <w:sz w:val="28"/>
          <w:szCs w:val="28"/>
        </w:rPr>
        <w:t>〔2016〕</w:t>
      </w:r>
      <w:r w:rsidR="006A2B01">
        <w:rPr>
          <w:rFonts w:ascii="仿宋_GB2312" w:eastAsia="仿宋_GB2312" w:hAnsi="华文中宋" w:cstheme="minorBidi" w:hint="eastAsia"/>
          <w:sz w:val="28"/>
          <w:szCs w:val="28"/>
        </w:rPr>
        <w:t>19</w:t>
      </w:r>
      <w:r w:rsidR="006A2B01" w:rsidRPr="00BA2D5E">
        <w:rPr>
          <w:rFonts w:ascii="仿宋_GB2312" w:eastAsia="仿宋_GB2312" w:hAnsi="华文中宋" w:cstheme="minorBidi" w:hint="eastAsia"/>
          <w:sz w:val="28"/>
          <w:szCs w:val="28"/>
        </w:rPr>
        <w:t>7号</w:t>
      </w:r>
      <w:r w:rsidR="006A2B01">
        <w:rPr>
          <w:rFonts w:ascii="仿宋_GB2312" w:eastAsia="仿宋_GB2312" w:hAnsi="华文中宋" w:cstheme="minorBidi" w:hint="eastAsia"/>
          <w:sz w:val="28"/>
          <w:szCs w:val="28"/>
        </w:rPr>
        <w:t>)</w:t>
      </w:r>
      <w:r w:rsidR="00F922E7" w:rsidRPr="00F922E7">
        <w:rPr>
          <w:rFonts w:ascii="仿宋_GB2312" w:eastAsia="仿宋_GB2312" w:hAnsi="华文中宋" w:cstheme="minorBidi" w:hint="eastAsia"/>
          <w:sz w:val="28"/>
          <w:szCs w:val="28"/>
        </w:rPr>
        <w:t xml:space="preserve"> </w:t>
      </w:r>
      <w:r w:rsidR="00F922E7" w:rsidRPr="00BA2D5E">
        <w:rPr>
          <w:rFonts w:ascii="仿宋_GB2312" w:eastAsia="仿宋_GB2312" w:hAnsi="华文中宋" w:cstheme="minorBidi" w:hint="eastAsia"/>
          <w:sz w:val="28"/>
          <w:szCs w:val="28"/>
        </w:rPr>
        <w:t>文件</w:t>
      </w:r>
      <w:r w:rsidRPr="00BA2D5E">
        <w:rPr>
          <w:rFonts w:ascii="仿宋_GB2312" w:eastAsia="仿宋_GB2312" w:hAnsi="华文中宋" w:cstheme="minorBidi" w:hint="eastAsia"/>
          <w:sz w:val="28"/>
          <w:szCs w:val="28"/>
        </w:rPr>
        <w:t>，提出了打造江北新区创新创业高地、推进企业自主创新能力建设等8个方面，36条政策措施，鼓励产业科技创新。这个政策对企业科技研发、高校院所成果转化、创业创新平台支撑、高层次科技人才集聚、中小微企业资金支持等方面，都有哪些具体的政策措施？科协大讲堂将邀请南京市科委</w:t>
      </w:r>
      <w:r w:rsidR="00542BB5">
        <w:rPr>
          <w:rFonts w:ascii="仿宋_GB2312" w:eastAsia="仿宋_GB2312" w:hAnsi="华文中宋" w:cstheme="minorBidi" w:hint="eastAsia"/>
          <w:sz w:val="28"/>
          <w:szCs w:val="28"/>
        </w:rPr>
        <w:t>政策</w:t>
      </w:r>
      <w:r w:rsidRPr="00BA2D5E">
        <w:rPr>
          <w:rFonts w:ascii="仿宋_GB2312" w:eastAsia="仿宋_GB2312" w:hAnsi="华文中宋" w:cstheme="minorBidi" w:hint="eastAsia"/>
          <w:sz w:val="28"/>
          <w:szCs w:val="28"/>
        </w:rPr>
        <w:t>法规处副处长刘继青进行详细解读。时间：2017年2月24日14：00，地点：江宁区水阁路33号中航工业金城南京机电液压工程研究中心101大楼1楼学术厅。联系人：彭老师，电话：13915963759</w:t>
      </w:r>
    </w:p>
    <w:p w:rsidR="00F501F9" w:rsidRDefault="00F501F9">
      <w:pPr>
        <w:spacing w:line="220" w:lineRule="atLeast"/>
        <w:rPr>
          <w:rFonts w:ascii="ˎ̥" w:hAnsi="ˎ̥" w:hint="eastAsia"/>
          <w:color w:val="2A2A2A"/>
          <w:sz w:val="23"/>
          <w:szCs w:val="23"/>
        </w:rPr>
      </w:pPr>
    </w:p>
    <w:p w:rsidR="00F501F9" w:rsidRDefault="00F501F9">
      <w:pPr>
        <w:spacing w:line="220" w:lineRule="atLeast"/>
        <w:rPr>
          <w:rFonts w:ascii="ˎ̥" w:hAnsi="ˎ̥" w:hint="eastAsia"/>
          <w:color w:val="2A2A2A"/>
          <w:sz w:val="23"/>
          <w:szCs w:val="23"/>
        </w:rPr>
      </w:pPr>
    </w:p>
    <w:p w:rsidR="00F501F9" w:rsidRDefault="00C01E08">
      <w:pPr>
        <w:adjustRightInd/>
        <w:snapToGrid/>
        <w:spacing w:after="0"/>
        <w:rPr>
          <w:rFonts w:ascii="宋体" w:eastAsia="宋体" w:hAnsi="宋体" w:cs="宋体"/>
          <w:sz w:val="24"/>
          <w:szCs w:val="24"/>
        </w:rPr>
      </w:pPr>
      <w:r>
        <w:rPr>
          <w:rFonts w:ascii="宋体" w:eastAsia="宋体" w:hAnsi="宋体" w:cs="宋体"/>
          <w:sz w:val="24"/>
          <w:szCs w:val="24"/>
        </w:rPr>
        <w:t xml:space="preserve">　</w:t>
      </w:r>
    </w:p>
    <w:p w:rsidR="00F501F9" w:rsidRDefault="00F501F9">
      <w:pPr>
        <w:spacing w:line="220" w:lineRule="atLeast"/>
      </w:pPr>
    </w:p>
    <w:sectPr w:rsidR="00F501F9" w:rsidSect="00F501F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BB7" w:rsidRDefault="00574BB7" w:rsidP="00BA2D5E">
      <w:pPr>
        <w:spacing w:after="0"/>
      </w:pPr>
      <w:r>
        <w:separator/>
      </w:r>
    </w:p>
  </w:endnote>
  <w:endnote w:type="continuationSeparator" w:id="0">
    <w:p w:rsidR="00574BB7" w:rsidRDefault="00574BB7" w:rsidP="00BA2D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BB7" w:rsidRDefault="00574BB7" w:rsidP="00BA2D5E">
      <w:pPr>
        <w:spacing w:after="0"/>
      </w:pPr>
      <w:r>
        <w:separator/>
      </w:r>
    </w:p>
  </w:footnote>
  <w:footnote w:type="continuationSeparator" w:id="0">
    <w:p w:rsidR="00574BB7" w:rsidRDefault="00574BB7" w:rsidP="00BA2D5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hdrShapeDefaults>
    <o:shapedefaults v:ext="edit" spidmax="921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1D50"/>
    <w:rsid w:val="00323B43"/>
    <w:rsid w:val="003409A9"/>
    <w:rsid w:val="00353786"/>
    <w:rsid w:val="003D37D8"/>
    <w:rsid w:val="00426133"/>
    <w:rsid w:val="004358AB"/>
    <w:rsid w:val="00510671"/>
    <w:rsid w:val="00542BB5"/>
    <w:rsid w:val="00574BB7"/>
    <w:rsid w:val="0059109F"/>
    <w:rsid w:val="006A2B01"/>
    <w:rsid w:val="007D4D6D"/>
    <w:rsid w:val="008B7726"/>
    <w:rsid w:val="00915339"/>
    <w:rsid w:val="00A40EB1"/>
    <w:rsid w:val="00B6144A"/>
    <w:rsid w:val="00BA2D5E"/>
    <w:rsid w:val="00C01E08"/>
    <w:rsid w:val="00D03606"/>
    <w:rsid w:val="00D11D72"/>
    <w:rsid w:val="00D31D50"/>
    <w:rsid w:val="00DD6503"/>
    <w:rsid w:val="00F501F9"/>
    <w:rsid w:val="00F922E7"/>
    <w:rsid w:val="487E4636"/>
    <w:rsid w:val="674C32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F9"/>
    <w:pPr>
      <w:adjustRightInd w:val="0"/>
      <w:snapToGrid w:val="0"/>
      <w:spacing w:after="200"/>
    </w:pPr>
    <w:rPr>
      <w:rFonts w:ascii="Tahoma"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rsid w:val="00F501F9"/>
    <w:pPr>
      <w:tabs>
        <w:tab w:val="center" w:pos="4153"/>
        <w:tab w:val="right" w:pos="8306"/>
      </w:tabs>
    </w:pPr>
    <w:rPr>
      <w:sz w:val="18"/>
      <w:szCs w:val="18"/>
    </w:rPr>
  </w:style>
  <w:style w:type="paragraph" w:styleId="a4">
    <w:name w:val="header"/>
    <w:basedOn w:val="a"/>
    <w:unhideWhenUsed/>
    <w:rsid w:val="00F501F9"/>
    <w:pPr>
      <w:pBdr>
        <w:bottom w:val="single" w:sz="6" w:space="1" w:color="auto"/>
      </w:pBdr>
      <w:tabs>
        <w:tab w:val="center" w:pos="4153"/>
        <w:tab w:val="right" w:pos="8306"/>
      </w:tabs>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qq://txfi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2月大讲堂重点报告</dc:title>
  <dc:creator>Administrator</dc:creator>
  <cp:lastModifiedBy>Administrator</cp:lastModifiedBy>
  <cp:revision>5</cp:revision>
  <dcterms:created xsi:type="dcterms:W3CDTF">2008-09-11T17:20:00Z</dcterms:created>
  <dcterms:modified xsi:type="dcterms:W3CDTF">2017-01-22T02:50:00Z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